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1DF" w:rsidRPr="00D80C6B" w:rsidRDefault="00A43804" w:rsidP="00247658">
      <w:pPr>
        <w:pStyle w:val="Title"/>
        <w:ind w:right="0"/>
        <w:rPr>
          <w:sz w:val="44"/>
          <w:szCs w:val="44"/>
        </w:rPr>
      </w:pPr>
      <w:r w:rsidRPr="00D80C6B">
        <w:rPr>
          <w:sz w:val="44"/>
          <w:szCs w:val="44"/>
        </w:rPr>
        <w:t>E</w:t>
      </w:r>
      <w:r w:rsidR="0063523E" w:rsidRPr="00D80C6B">
        <w:rPr>
          <w:sz w:val="44"/>
          <w:szCs w:val="44"/>
        </w:rPr>
        <w:t xml:space="preserve">valuation Criteria for Open </w:t>
      </w:r>
      <w:r w:rsidRPr="00D80C6B">
        <w:rPr>
          <w:sz w:val="44"/>
          <w:szCs w:val="44"/>
        </w:rPr>
        <w:t>Education Resources</w:t>
      </w:r>
    </w:p>
    <w:p w:rsidR="00E670FF" w:rsidRDefault="00E670FF" w:rsidP="00E670FF">
      <w:pPr>
        <w:ind w:right="0"/>
        <w:contextualSpacing/>
        <w:rPr>
          <w:shd w:val="clear" w:color="auto" w:fill="FFFFFF"/>
        </w:rPr>
      </w:pPr>
      <w:r>
        <w:rPr>
          <w:shd w:val="clear" w:color="auto" w:fill="FFFFFF"/>
        </w:rPr>
        <w:t>U</w:t>
      </w:r>
      <w:r>
        <w:rPr>
          <w:shd w:val="clear" w:color="auto" w:fill="FFFFFF"/>
        </w:rPr>
        <w:t>se this guide to evaluate</w:t>
      </w:r>
      <w:r>
        <w:rPr>
          <w:shd w:val="clear" w:color="auto" w:fill="FFFFFF"/>
        </w:rPr>
        <w:t xml:space="preserve"> open educational resources (OERs) for your course.</w:t>
      </w:r>
    </w:p>
    <w:p w:rsidR="00E670FF" w:rsidRDefault="00E670FF" w:rsidP="00E670FF">
      <w:pPr>
        <w:ind w:right="0"/>
        <w:contextualSpacing/>
      </w:pPr>
    </w:p>
    <w:p w:rsidR="00CB4D3F" w:rsidRDefault="00A43804" w:rsidP="00CB4D3F">
      <w:pPr>
        <w:spacing w:after="240"/>
        <w:ind w:right="0"/>
        <w:contextualSpacing/>
      </w:pPr>
      <w:r>
        <w:t xml:space="preserve">OER’s are freely available educational materials, including textbooks, lesson plans, worksheets, videos, and interactive tutorials. They are typically licensed under Creative Commons. See our </w:t>
      </w:r>
      <w:hyperlink r:id="rId7">
        <w:r>
          <w:rPr>
            <w:color w:val="1155CC"/>
            <w:u w:val="single"/>
          </w:rPr>
          <w:t>OER guide</w:t>
        </w:r>
      </w:hyperlink>
      <w:r>
        <w:t xml:space="preserve"> for lists of reputable repositories and databases for OERs.  </w:t>
      </w:r>
    </w:p>
    <w:p w:rsidR="00E670FF" w:rsidRDefault="00E670FF" w:rsidP="00CB4D3F">
      <w:pPr>
        <w:spacing w:after="240"/>
        <w:ind w:right="0"/>
        <w:contextualSpacing/>
      </w:pPr>
    </w:p>
    <w:p w:rsidR="00EE0241" w:rsidRDefault="00A43804" w:rsidP="00CB4D3F">
      <w:pPr>
        <w:spacing w:after="240"/>
        <w:ind w:right="0"/>
        <w:contextualSpacing/>
      </w:pPr>
      <w:bookmarkStart w:id="0" w:name="_GoBack"/>
      <w:bookmarkEnd w:id="0"/>
      <w:r>
        <w:t xml:space="preserve">This guide has been adapted from UMUC’s </w:t>
      </w:r>
      <w:hyperlink r:id="rId8">
        <w:r>
          <w:rPr>
            <w:color w:val="1155CC"/>
            <w:u w:val="single"/>
          </w:rPr>
          <w:t>OER Quality Guide</w:t>
        </w:r>
      </w:hyperlink>
      <w:r>
        <w:t xml:space="preserve"> used </w:t>
      </w:r>
      <w:hyperlink r:id="rId9">
        <w:r>
          <w:rPr>
            <w:color w:val="1155CC"/>
            <w:u w:val="single"/>
          </w:rPr>
          <w:t>under CC</w:t>
        </w:r>
      </w:hyperlink>
      <w:r>
        <w:t xml:space="preserve">. </w:t>
      </w:r>
    </w:p>
    <w:tbl>
      <w:tblPr>
        <w:tblW w:w="964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00"/>
        <w:gridCol w:w="1170"/>
        <w:gridCol w:w="1170"/>
      </w:tblGrid>
      <w:tr w:rsidR="00F60438" w:rsidTr="00D80C6B">
        <w:trPr>
          <w:trHeight w:val="432"/>
        </w:trPr>
        <w:tc>
          <w:tcPr>
            <w:tcW w:w="9640" w:type="dxa"/>
            <w:gridSpan w:val="3"/>
            <w:shd w:val="clear" w:color="auto" w:fill="0028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Pr="000B61DF" w:rsidRDefault="00F60438" w:rsidP="00414304">
            <w:pPr>
              <w:pStyle w:val="H1tables"/>
              <w:rPr>
                <w:rStyle w:val="Strong"/>
              </w:rPr>
            </w:pPr>
            <w:bookmarkStart w:id="1" w:name="_e9kosunm18ef" w:colFirst="0" w:colLast="0"/>
            <w:bookmarkEnd w:id="1"/>
            <w:r w:rsidRPr="000B61DF">
              <w:rPr>
                <w:rStyle w:val="Strong"/>
                <w:rFonts w:cstheme="majorBidi"/>
                <w:bCs w:val="0"/>
                <w:sz w:val="32"/>
                <w:szCs w:val="32"/>
              </w:rPr>
              <w:t>Compliance</w:t>
            </w:r>
          </w:p>
          <w:p w:rsidR="00F60438" w:rsidRPr="000414D6" w:rsidRDefault="00F60438" w:rsidP="00414304">
            <w:pPr>
              <w:ind w:right="0"/>
            </w:pPr>
            <w:r w:rsidRPr="000414D6">
              <w:rPr>
                <w:rStyle w:val="Strong"/>
                <w:color w:val="FFFFFF" w:themeColor="background1"/>
                <w:sz w:val="18"/>
                <w:szCs w:val="18"/>
              </w:rPr>
              <w:t>Items in the Compliance section are legal requirements and must be met for OERs.</w:t>
            </w:r>
          </w:p>
        </w:tc>
      </w:tr>
      <w:tr w:rsidR="00247658" w:rsidTr="00D80C6B">
        <w:trPr>
          <w:trHeight w:val="299"/>
        </w:trPr>
        <w:tc>
          <w:tcPr>
            <w:tcW w:w="730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14304">
            <w:pPr>
              <w:pStyle w:val="H2table"/>
            </w:pPr>
            <w:r w:rsidRPr="009B1954">
              <w:t>Copyright</w:t>
            </w:r>
            <w:r>
              <w:t xml:space="preserve"> </w:t>
            </w:r>
            <w:r w:rsidR="000B61DF">
              <w:t>(required)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9B1954" w:rsidP="004E6334">
            <w:pPr>
              <w:pStyle w:val="normaltables"/>
              <w:jc w:val="center"/>
            </w:pPr>
            <w:r>
              <w:t>Yes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Pr="00EE0241" w:rsidRDefault="00F60438" w:rsidP="004E6334">
            <w:pPr>
              <w:pStyle w:val="normaltables"/>
              <w:jc w:val="center"/>
              <w:rPr>
                <w:sz w:val="23"/>
              </w:rPr>
            </w:pPr>
            <w:r>
              <w:t>No</w:t>
            </w:r>
          </w:p>
        </w:tc>
      </w:tr>
      <w:tr w:rsidR="004E6334" w:rsidTr="00D80C6B">
        <w:trPr>
          <w:trHeight w:val="149"/>
        </w:trPr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14304">
            <w:pPr>
              <w:pStyle w:val="normaltables"/>
            </w:pPr>
            <w:r>
              <w:t xml:space="preserve">All content components are openly licensed or in the public domain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E6334">
            <w:pPr>
              <w:pStyle w:val="normaltables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Pr="00DD3EBD" w:rsidRDefault="00DD3EBD" w:rsidP="004E6334">
            <w:pPr>
              <w:pStyle w:val="normaltables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</w:tr>
      <w:tr w:rsidR="004E6334" w:rsidTr="00D80C6B">
        <w:trPr>
          <w:trHeight w:val="149"/>
        </w:trPr>
        <w:tc>
          <w:tcPr>
            <w:tcW w:w="7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14304">
            <w:pPr>
              <w:pStyle w:val="normaltables"/>
            </w:pPr>
            <w:r>
              <w:t>If needed</w:t>
            </w:r>
            <w:r w:rsidR="003B282C">
              <w:rPr>
                <w:i/>
              </w:rPr>
              <w:t xml:space="preserve">, </w:t>
            </w:r>
            <w:r w:rsidRPr="00F60438">
              <w:t>license</w:t>
            </w:r>
            <w:r>
              <w:t xml:space="preserve"> allows for modifications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E6334">
            <w:pPr>
              <w:pStyle w:val="normaltables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E6334">
            <w:pPr>
              <w:pStyle w:val="normaltables"/>
              <w:jc w:val="center"/>
            </w:pPr>
          </w:p>
        </w:tc>
      </w:tr>
      <w:tr w:rsidR="00247658" w:rsidTr="00D80C6B">
        <w:trPr>
          <w:trHeight w:val="299"/>
        </w:trPr>
        <w:tc>
          <w:tcPr>
            <w:tcW w:w="730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Pr="000B61DF" w:rsidRDefault="00F60438" w:rsidP="00414304">
            <w:pPr>
              <w:pStyle w:val="H2table"/>
            </w:pPr>
            <w:r w:rsidRPr="009B1954">
              <w:t>Accessibility</w:t>
            </w:r>
            <w:r w:rsidR="000B61DF">
              <w:t xml:space="preserve"> (required)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E6334">
            <w:pPr>
              <w:pStyle w:val="normaltables"/>
              <w:jc w:val="center"/>
            </w:pPr>
            <w:r>
              <w:t>Yes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Pr="00DD3EBD" w:rsidRDefault="00F60438" w:rsidP="004E6334">
            <w:pPr>
              <w:pStyle w:val="normaltables"/>
              <w:jc w:val="center"/>
              <w:rPr>
                <w:sz w:val="23"/>
              </w:rPr>
            </w:pPr>
            <w:r>
              <w:t>No</w:t>
            </w:r>
          </w:p>
        </w:tc>
      </w:tr>
      <w:tr w:rsidR="00247658" w:rsidTr="00D80C6B">
        <w:trPr>
          <w:trHeight w:val="149"/>
        </w:trPr>
        <w:tc>
          <w:tcPr>
            <w:tcW w:w="73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14304">
            <w:pPr>
              <w:pStyle w:val="normaltables"/>
            </w:pPr>
            <w:r>
              <w:t>Resource meets ADA  accessibility standards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Default="00F60438" w:rsidP="004E6334">
            <w:pPr>
              <w:pStyle w:val="normaltables"/>
              <w:jc w:val="center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438" w:rsidRPr="00DD3EBD" w:rsidRDefault="00DD3EBD" w:rsidP="004E6334">
            <w:pPr>
              <w:pStyle w:val="normaltables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required</w:t>
            </w:r>
          </w:p>
        </w:tc>
      </w:tr>
    </w:tbl>
    <w:p w:rsidR="00652516" w:rsidRDefault="00652516" w:rsidP="009361A2">
      <w:pPr>
        <w:spacing w:before="0" w:after="0"/>
        <w:rPr>
          <w:sz w:val="16"/>
          <w:szCs w:val="16"/>
        </w:rPr>
      </w:pPr>
    </w:p>
    <w:p w:rsidR="00A82EA3" w:rsidRPr="00DD173F" w:rsidRDefault="00A82EA3" w:rsidP="009361A2">
      <w:pPr>
        <w:spacing w:before="0" w:after="0"/>
        <w:rPr>
          <w:sz w:val="16"/>
          <w:szCs w:val="16"/>
        </w:rPr>
      </w:pPr>
    </w:p>
    <w:tbl>
      <w:tblPr>
        <w:tblW w:w="964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5140"/>
        <w:gridCol w:w="1170"/>
        <w:gridCol w:w="1170"/>
        <w:gridCol w:w="1080"/>
        <w:gridCol w:w="1080"/>
      </w:tblGrid>
      <w:tr w:rsidR="00652516" w:rsidTr="00247658">
        <w:trPr>
          <w:trHeight w:val="722"/>
        </w:trPr>
        <w:tc>
          <w:tcPr>
            <w:tcW w:w="9640" w:type="dxa"/>
            <w:gridSpan w:val="5"/>
            <w:shd w:val="clear" w:color="auto" w:fill="0028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516" w:rsidRPr="000B61DF" w:rsidRDefault="00652516" w:rsidP="000414D6">
            <w:pPr>
              <w:pStyle w:val="H1tables"/>
              <w:rPr>
                <w:rStyle w:val="Strong"/>
              </w:rPr>
            </w:pPr>
            <w:r w:rsidRPr="000B61DF">
              <w:rPr>
                <w:rStyle w:val="Strong"/>
                <w:sz w:val="32"/>
                <w:szCs w:val="32"/>
              </w:rPr>
              <w:t>Content</w:t>
            </w:r>
          </w:p>
          <w:p w:rsidR="00652516" w:rsidRPr="000414D6" w:rsidRDefault="00652516" w:rsidP="000414D6">
            <w:r w:rsidRPr="000414D6">
              <w:rPr>
                <w:rStyle w:val="Strong"/>
                <w:color w:val="FFFFFF" w:themeColor="background1"/>
                <w:sz w:val="18"/>
                <w:szCs w:val="18"/>
              </w:rPr>
              <w:t>Items in the Content section reflect best prac</w:t>
            </w:r>
            <w:r w:rsidR="00D80C6B">
              <w:rPr>
                <w:rStyle w:val="Strong"/>
                <w:color w:val="FFFFFF" w:themeColor="background1"/>
                <w:sz w:val="18"/>
                <w:szCs w:val="18"/>
              </w:rPr>
              <w:t>tices and are meant as suggestion</w:t>
            </w:r>
            <w:r w:rsidRPr="000414D6">
              <w:rPr>
                <w:rStyle w:val="Strong"/>
                <w:color w:val="FFFFFF" w:themeColor="background1"/>
                <w:sz w:val="18"/>
                <w:szCs w:val="18"/>
              </w:rPr>
              <w:t>s.</w:t>
            </w:r>
          </w:p>
        </w:tc>
      </w:tr>
      <w:tr w:rsidR="00247658" w:rsidTr="00D80C6B">
        <w:trPr>
          <w:trHeight w:val="302"/>
        </w:trPr>
        <w:tc>
          <w:tcPr>
            <w:tcW w:w="514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0414D6">
            <w:pPr>
              <w:pStyle w:val="H2table"/>
            </w:pPr>
            <w:bookmarkStart w:id="2" w:name="_ayszioncm40e" w:colFirst="0" w:colLast="0"/>
            <w:bookmarkStart w:id="3" w:name="_ijdyqevkrfo1" w:colFirst="0" w:colLast="0"/>
            <w:bookmarkEnd w:id="2"/>
            <w:bookmarkEnd w:id="3"/>
            <w:r>
              <w:t>Currency and Relevance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AF6871" w:rsidP="004E6334">
            <w:pPr>
              <w:pStyle w:val="normaltables"/>
              <w:jc w:val="center"/>
            </w:pPr>
            <w:r>
              <w:t>Fair/</w:t>
            </w:r>
            <w:r w:rsidR="009B1954">
              <w:t>Good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Excellent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NA</w:t>
            </w:r>
          </w:p>
        </w:tc>
      </w:tr>
      <w:tr w:rsidR="00247658" w:rsidTr="00E670FF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normaltables"/>
            </w:pPr>
            <w:r>
              <w:t xml:space="preserve">Resource is current, recent enough to serve the need, or seminal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Pr="00DD3EBD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-360" w:right="0"/>
              <w:rPr>
                <w:color w:val="FFFFFF" w:themeColor="background1"/>
              </w:rPr>
            </w:pPr>
          </w:p>
        </w:tc>
      </w:tr>
      <w:tr w:rsidR="00247658" w:rsidTr="00E670FF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normaltables"/>
            </w:pPr>
            <w:r>
              <w:t xml:space="preserve">Content is targeted: it serves the purpose without extraneous content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Pr="00DD3EBD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-360" w:right="0"/>
              <w:rPr>
                <w:color w:val="FFFFFF" w:themeColor="background1"/>
              </w:rPr>
            </w:pPr>
          </w:p>
        </w:tc>
      </w:tr>
      <w:tr w:rsidR="00247658" w:rsidTr="00E670FF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normaltables"/>
            </w:pPr>
            <w:r>
              <w:t>Resource clearly aligns to student learning objectives, program outcomes, and associated assessments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Pr="00DD3EBD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left="-360" w:right="0"/>
              <w:rPr>
                <w:color w:val="FFFFFF" w:themeColor="background1"/>
              </w:rPr>
            </w:pPr>
          </w:p>
        </w:tc>
      </w:tr>
      <w:tr w:rsidR="00247658" w:rsidTr="00E670FF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normaltables"/>
            </w:pPr>
            <w:r>
              <w:t xml:space="preserve">Where applicable, resource reflects industry standards and accreditation requirements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Pr="00DD3EBD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rPr>
                <w:color w:val="FFFFFF" w:themeColor="background1"/>
              </w:rPr>
            </w:pPr>
          </w:p>
        </w:tc>
      </w:tr>
      <w:tr w:rsidR="00247658" w:rsidTr="00E670FF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normaltables"/>
            </w:pPr>
            <w:r>
              <w:t>Resource's rigor, depth, and approach are appropriate for the degree level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</w:pPr>
          </w:p>
        </w:tc>
      </w:tr>
      <w:tr w:rsidR="00247658" w:rsidTr="005B645D">
        <w:trPr>
          <w:trHeight w:val="302"/>
        </w:trPr>
        <w:tc>
          <w:tcPr>
            <w:tcW w:w="514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5B645D">
            <w:pPr>
              <w:pStyle w:val="H2table"/>
            </w:pPr>
            <w:bookmarkStart w:id="4" w:name="_m8420f7n4tge" w:colFirst="0" w:colLast="0"/>
            <w:bookmarkEnd w:id="4"/>
            <w:r>
              <w:lastRenderedPageBreak/>
              <w:t>Credibility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AF6871">
            <w:pPr>
              <w:pStyle w:val="normaltables"/>
              <w:jc w:val="center"/>
            </w:pPr>
            <w:r>
              <w:t>Fair/Good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Excellent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NA</w:t>
            </w: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 xml:space="preserve">Source (author, publisher, etc.) is reputable, scholarly, and/or professional, as appropriate 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 xml:space="preserve">References and citations appear valid; images are original or properly attributed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pStyle w:val="ListParagraph"/>
              <w:widowControl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720"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 xml:space="preserve">Resource has been </w:t>
            </w:r>
            <w:r w:rsidRPr="000414D6">
              <w:t>independently verified or refereed</w:t>
            </w:r>
            <w:r>
              <w:rPr>
                <w:color w:val="1155CC"/>
                <w:u w:val="single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 xml:space="preserve">Writing is clear and organized; content seems professionally written and edited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Pr="000414D6" w:rsidRDefault="009B1954" w:rsidP="004E6334">
            <w:pPr>
              <w:pStyle w:val="normaltables"/>
              <w:rPr>
                <w:rStyle w:val="SubtleEmphasis"/>
              </w:rPr>
            </w:pPr>
            <w:r>
              <w:t>Resource appears objective, bias-free; it lacks apparent hidden agenda that conflicts with its evident purpose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right="0"/>
              <w:jc w:val="center"/>
            </w:pPr>
          </w:p>
        </w:tc>
      </w:tr>
      <w:tr w:rsidR="00247658" w:rsidTr="00A82EA3">
        <w:trPr>
          <w:trHeight w:val="302"/>
        </w:trPr>
        <w:tc>
          <w:tcPr>
            <w:tcW w:w="514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Pr="00611C75" w:rsidRDefault="009B1954" w:rsidP="00A82EA3">
            <w:pPr>
              <w:pStyle w:val="H2table"/>
              <w:rPr>
                <w:rStyle w:val="Strong"/>
              </w:rPr>
            </w:pPr>
            <w:bookmarkStart w:id="5" w:name="_4pywl012w47z" w:colFirst="0" w:colLast="0"/>
            <w:bookmarkEnd w:id="5"/>
            <w:r>
              <w:t>Inclusivity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AF6871">
            <w:pPr>
              <w:pStyle w:val="normaltables"/>
              <w:jc w:val="center"/>
            </w:pPr>
            <w:r>
              <w:t>Fair/Good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Excellent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NA</w:t>
            </w:r>
          </w:p>
        </w:tc>
      </w:tr>
      <w:tr w:rsidR="00247658" w:rsidTr="00A82EA3">
        <w:trPr>
          <w:trHeight w:val="576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>Resource honors diversity in genders, ages, languages, cultur</w:t>
            </w:r>
            <w:r w:rsidR="00A82EA3">
              <w:t>al expressions,</w:t>
            </w:r>
            <w:r>
              <w:t xml:space="preserve"> backgrounds, capabilities, etc.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</w:tr>
      <w:tr w:rsidR="00247658" w:rsidTr="00A82EA3">
        <w:trPr>
          <w:trHeight w:val="576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 xml:space="preserve">It avoids insensitive representations in all visual and verbal representations of people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  <w:tc>
          <w:tcPr>
            <w:tcW w:w="1080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</w:p>
        </w:tc>
      </w:tr>
      <w:tr w:rsidR="00247658" w:rsidTr="00A82EA3">
        <w:trPr>
          <w:trHeight w:val="302"/>
        </w:trPr>
        <w:tc>
          <w:tcPr>
            <w:tcW w:w="514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H2table"/>
            </w:pPr>
            <w:bookmarkStart w:id="6" w:name="_ay7ji83wh89t" w:colFirst="0" w:colLast="0"/>
            <w:bookmarkEnd w:id="6"/>
            <w:r>
              <w:t xml:space="preserve">Engagement 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AF6871">
            <w:pPr>
              <w:pStyle w:val="normaltables"/>
              <w:jc w:val="center"/>
            </w:pPr>
            <w:r>
              <w:t>Fair/Good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Excellent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NA</w:t>
            </w:r>
          </w:p>
        </w:tc>
      </w:tr>
      <w:tr w:rsidR="00247658" w:rsidTr="00A82EA3">
        <w:trPr>
          <w:trHeight w:val="576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>Content invites the reader's reflection and participation in the learning process; it could be described as engaging and/or motivating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247658" w:rsidTr="00A82EA3">
        <w:trPr>
          <w:trHeight w:val="288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>Its form is appropriate to the purpose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247658" w:rsidTr="00A82EA3">
        <w:trPr>
          <w:trHeight w:val="302"/>
        </w:trPr>
        <w:tc>
          <w:tcPr>
            <w:tcW w:w="514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H2table"/>
              <w:spacing w:after="12"/>
            </w:pPr>
            <w:bookmarkStart w:id="7" w:name="_e2g3gpn2jxq8" w:colFirst="0" w:colLast="0"/>
            <w:bookmarkEnd w:id="7"/>
            <w:r>
              <w:t>Contextualization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  <w:jc w:val="center"/>
            </w:pPr>
            <w:r>
              <w:t>Fair/Good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  <w:jc w:val="center"/>
            </w:pPr>
            <w:r>
              <w:t>Excellent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  <w:jc w:val="center"/>
            </w:pPr>
            <w:r>
              <w:t>NA</w:t>
            </w: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 xml:space="preserve">Resource is already contextualized; it's well suited to our audiences and purposes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 xml:space="preserve">If not contextualized already, resource can be adapted and contextualized with feasible time and effort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 xml:space="preserve">Institutional identification is minimal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>Cont</w:t>
            </w:r>
            <w:r w:rsidR="005B645D">
              <w:t xml:space="preserve">ent avoids overuse of jargon or </w:t>
            </w:r>
            <w:proofErr w:type="spellStart"/>
            <w:r w:rsidR="005B645D">
              <w:t>acronyms</w:t>
            </w:r>
            <w:r w:rsidRPr="00247658">
              <w:rPr>
                <w:color w:val="FFFFFF" w:themeColor="background1"/>
              </w:rPr>
              <w:t>ronyms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 xml:space="preserve">Content is self-contained: no reliance on links to other content/materials </w:t>
            </w: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1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  <w:tc>
          <w:tcPr>
            <w:tcW w:w="10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</w:p>
        </w:tc>
      </w:tr>
      <w:tr w:rsidR="00652516" w:rsidTr="00247658">
        <w:trPr>
          <w:trHeight w:val="722"/>
        </w:trPr>
        <w:tc>
          <w:tcPr>
            <w:tcW w:w="9640" w:type="dxa"/>
            <w:gridSpan w:val="5"/>
            <w:shd w:val="clear" w:color="auto" w:fill="00285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4D6" w:rsidRPr="00247658" w:rsidRDefault="00652516" w:rsidP="009361A2">
            <w:pPr>
              <w:pStyle w:val="H1tables"/>
              <w:spacing w:after="12"/>
              <w:contextualSpacing/>
              <w:rPr>
                <w:rStyle w:val="Strong"/>
                <w:sz w:val="32"/>
                <w:szCs w:val="32"/>
              </w:rPr>
            </w:pPr>
            <w:bookmarkStart w:id="8" w:name="_cmlbh2th1kqx" w:colFirst="0" w:colLast="0"/>
            <w:bookmarkEnd w:id="8"/>
            <w:r w:rsidRPr="00247658">
              <w:rPr>
                <w:rStyle w:val="Strong"/>
                <w:sz w:val="32"/>
                <w:szCs w:val="32"/>
              </w:rPr>
              <w:lastRenderedPageBreak/>
              <w:t>Technical Factors</w:t>
            </w:r>
            <w:r w:rsidR="000414D6" w:rsidRPr="00247658">
              <w:rPr>
                <w:rStyle w:val="Strong"/>
                <w:sz w:val="32"/>
                <w:szCs w:val="32"/>
              </w:rPr>
              <w:t xml:space="preserve">  </w:t>
            </w:r>
          </w:p>
          <w:p w:rsidR="00652516" w:rsidRPr="00247658" w:rsidRDefault="00DD3EBD" w:rsidP="00247658">
            <w:pPr>
              <w:ind w:right="0"/>
              <w:rPr>
                <w:rFonts w:ascii="Segoe UI Semibold" w:hAnsi="Segoe UI Semibold" w:cs="Segoe UI Semibold"/>
                <w:bCs/>
                <w:sz w:val="20"/>
                <w:szCs w:val="20"/>
              </w:rPr>
            </w:pPr>
            <w:r w:rsidRPr="00247658">
              <w:rPr>
                <w:color w:val="FFFFFF" w:themeColor="background1"/>
                <w:sz w:val="20"/>
                <w:szCs w:val="20"/>
              </w:rPr>
              <w:t>Items in the Technical Factors</w:t>
            </w:r>
            <w:r w:rsidR="00652516" w:rsidRPr="00247658">
              <w:rPr>
                <w:color w:val="FFFFFF" w:themeColor="background1"/>
                <w:sz w:val="20"/>
                <w:szCs w:val="20"/>
              </w:rPr>
              <w:t xml:space="preserve"> section reflect best pract</w:t>
            </w:r>
            <w:r w:rsidR="004B2988">
              <w:rPr>
                <w:color w:val="FFFFFF" w:themeColor="background1"/>
                <w:sz w:val="20"/>
                <w:szCs w:val="20"/>
              </w:rPr>
              <w:t>ices and are meant as suggestions</w:t>
            </w:r>
            <w:r w:rsidR="00652516" w:rsidRPr="00247658">
              <w:rPr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247658" w:rsidTr="00A82EA3">
        <w:trPr>
          <w:trHeight w:val="302"/>
        </w:trPr>
        <w:tc>
          <w:tcPr>
            <w:tcW w:w="514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H2table"/>
            </w:pPr>
            <w:bookmarkStart w:id="9" w:name="_yvfwmkxpfcqe" w:colFirst="0" w:colLast="0"/>
            <w:bookmarkEnd w:id="9"/>
            <w:r>
              <w:t>User Experience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Poor</w:t>
            </w:r>
          </w:p>
        </w:tc>
        <w:tc>
          <w:tcPr>
            <w:tcW w:w="117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AF6871">
            <w:pPr>
              <w:pStyle w:val="normaltables"/>
              <w:jc w:val="center"/>
            </w:pPr>
            <w:r>
              <w:t>Fair/Good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Excellent</w:t>
            </w:r>
          </w:p>
        </w:tc>
        <w:tc>
          <w:tcPr>
            <w:tcW w:w="1080" w:type="dxa"/>
            <w:shd w:val="clear" w:color="auto" w:fill="E8E8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  <w:jc w:val="center"/>
            </w:pPr>
            <w:r>
              <w:t>NA</w:t>
            </w: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>Interface is intuitive and user-friendly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360"/>
              <w:jc w:val="center"/>
            </w:pPr>
          </w:p>
        </w:tc>
      </w:tr>
      <w:tr w:rsidR="00247658" w:rsidTr="00A82EA3">
        <w:trPr>
          <w:trHeight w:val="144"/>
        </w:trPr>
        <w:tc>
          <w:tcPr>
            <w:tcW w:w="5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1954" w:rsidRDefault="009B1954" w:rsidP="00A82EA3">
            <w:pPr>
              <w:pStyle w:val="normaltables"/>
              <w:spacing w:after="12"/>
            </w:pPr>
            <w:r>
              <w:t xml:space="preserve">Layout, interface, design features, and multimedia support and enhance learning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36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9361A2">
            <w:pPr>
              <w:pStyle w:val="normaltables"/>
              <w:spacing w:after="12"/>
            </w:pPr>
            <w:r>
              <w:t xml:space="preserve">Resource is available without requiring students to register or pay a fee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36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>Resource requires no special software, plug-ins, browser limitations, etc.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360"/>
              <w:jc w:val="center"/>
            </w:pPr>
          </w:p>
        </w:tc>
      </w:tr>
      <w:tr w:rsidR="00247658" w:rsidTr="00D80C6B">
        <w:trPr>
          <w:trHeight w:val="144"/>
        </w:trPr>
        <w:tc>
          <w:tcPr>
            <w:tcW w:w="51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4E6334">
            <w:pPr>
              <w:pStyle w:val="normaltables"/>
            </w:pPr>
            <w:r>
              <w:t xml:space="preserve">Resource is downloadable and can be used offline 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8730"/>
              </w:tabs>
              <w:spacing w:before="0" w:after="0"/>
              <w:ind w:left="-360" w:right="0"/>
              <w:jc w:val="center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954" w:rsidRDefault="009B1954" w:rsidP="00DD3E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right="0" w:hanging="360"/>
              <w:jc w:val="center"/>
            </w:pPr>
          </w:p>
        </w:tc>
      </w:tr>
    </w:tbl>
    <w:p w:rsidR="008347A2" w:rsidRDefault="00D50770" w:rsidP="00A8181E">
      <w:bookmarkStart w:id="10" w:name="_ibuuaz6b5j23" w:colFirst="0" w:colLast="0"/>
      <w:bookmarkEnd w:id="1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4124398</wp:posOffset>
            </wp:positionH>
            <wp:positionV relativeFrom="paragraph">
              <wp:posOffset>250825</wp:posOffset>
            </wp:positionV>
            <wp:extent cx="2041525" cy="690880"/>
            <wp:effectExtent l="0" t="0" r="0" b="0"/>
            <wp:wrapSquare wrapText="bothSides"/>
            <wp:docPr id="1" name="Picture 1" descr="Saint Mary's University of Minneso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nt Mary's University of Minnesot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35F" w:rsidRPr="00D555F6" w:rsidRDefault="00F132E0" w:rsidP="00D50770">
      <w:r>
        <w:t xml:space="preserve">Updated July, 2019 </w:t>
      </w:r>
    </w:p>
    <w:sectPr w:rsidR="0050135F" w:rsidRPr="00D555F6" w:rsidSect="00414304">
      <w:footerReference w:type="default" r:id="rId11"/>
      <w:pgSz w:w="12240" w:h="15840" w:code="1"/>
      <w:pgMar w:top="1440" w:right="1440" w:bottom="1440" w:left="1440" w:header="432" w:footer="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833" w:rsidRDefault="00623833" w:rsidP="00A8181E">
      <w:r>
        <w:separator/>
      </w:r>
    </w:p>
  </w:endnote>
  <w:endnote w:type="continuationSeparator" w:id="0">
    <w:p w:rsidR="00623833" w:rsidRDefault="00623833" w:rsidP="00A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culate Light">
    <w:panose1 w:val="02000503040000020004"/>
    <w:charset w:val="00"/>
    <w:family w:val="auto"/>
    <w:pitch w:val="variable"/>
    <w:sig w:usb0="8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93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4B47" w:rsidRDefault="004A4B47" w:rsidP="003C1109">
        <w:pPr>
          <w:pStyle w:val="Footer"/>
          <w:tabs>
            <w:tab w:val="clear" w:pos="4680"/>
            <w:tab w:val="clear" w:pos="8730"/>
            <w:tab w:val="clear" w:pos="9360"/>
          </w:tabs>
          <w:spacing w:before="0"/>
          <w:ind w:right="990"/>
          <w:jc w:val="right"/>
        </w:pPr>
        <w:r w:rsidRPr="004A4B47">
          <w:rPr>
            <w:sz w:val="20"/>
          </w:rPr>
          <w:fldChar w:fldCharType="begin"/>
        </w:r>
        <w:r w:rsidRPr="004A4B47">
          <w:rPr>
            <w:sz w:val="20"/>
          </w:rPr>
          <w:instrText xml:space="preserve"> PAGE   \* MERGEFORMAT </w:instrText>
        </w:r>
        <w:r w:rsidRPr="004A4B47">
          <w:rPr>
            <w:sz w:val="20"/>
          </w:rPr>
          <w:fldChar w:fldCharType="separate"/>
        </w:r>
        <w:r w:rsidR="00E670FF">
          <w:rPr>
            <w:noProof/>
            <w:sz w:val="20"/>
          </w:rPr>
          <w:t>1</w:t>
        </w:r>
        <w:r w:rsidRPr="004A4B47">
          <w:rPr>
            <w:noProof/>
            <w:sz w:val="20"/>
          </w:rPr>
          <w:fldChar w:fldCharType="end"/>
        </w:r>
      </w:p>
    </w:sdtContent>
  </w:sdt>
  <w:p w:rsidR="00D15528" w:rsidRPr="001667EC" w:rsidRDefault="00D15528" w:rsidP="00A81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833" w:rsidRDefault="00623833" w:rsidP="00A8181E">
      <w:r>
        <w:separator/>
      </w:r>
    </w:p>
  </w:footnote>
  <w:footnote w:type="continuationSeparator" w:id="0">
    <w:p w:rsidR="00623833" w:rsidRDefault="00623833" w:rsidP="00A8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D21"/>
    <w:multiLevelType w:val="hybridMultilevel"/>
    <w:tmpl w:val="52CCDF8C"/>
    <w:lvl w:ilvl="0" w:tplc="942837A2">
      <w:start w:val="1"/>
      <w:numFmt w:val="bullet"/>
      <w:pStyle w:val="Header3-Lis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21292"/>
    <w:multiLevelType w:val="multilevel"/>
    <w:tmpl w:val="2932C9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E954DE"/>
    <w:multiLevelType w:val="multilevel"/>
    <w:tmpl w:val="38C657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E23912"/>
    <w:multiLevelType w:val="multilevel"/>
    <w:tmpl w:val="5284EE0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8E5E78"/>
    <w:multiLevelType w:val="multilevel"/>
    <w:tmpl w:val="D87207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D613BE9"/>
    <w:multiLevelType w:val="multilevel"/>
    <w:tmpl w:val="42425D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EF6776A"/>
    <w:multiLevelType w:val="multilevel"/>
    <w:tmpl w:val="D1E6F4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F083B9B"/>
    <w:multiLevelType w:val="multilevel"/>
    <w:tmpl w:val="B652013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22C27B7"/>
    <w:multiLevelType w:val="multilevel"/>
    <w:tmpl w:val="8AFEA8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56A0264"/>
    <w:multiLevelType w:val="multilevel"/>
    <w:tmpl w:val="BF3E245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9E0439E"/>
    <w:multiLevelType w:val="hybridMultilevel"/>
    <w:tmpl w:val="622E1C5C"/>
    <w:lvl w:ilvl="0" w:tplc="4B100F92">
      <w:start w:val="1"/>
      <w:numFmt w:val="bullet"/>
      <w:pStyle w:val="ListParagraph"/>
      <w:lvlText w:val=""/>
      <w:lvlJc w:val="left"/>
      <w:pPr>
        <w:ind w:left="1530" w:hanging="360"/>
      </w:pPr>
      <w:rPr>
        <w:rFonts w:ascii="Wingdings" w:hAnsi="Wingdings" w:hint="default"/>
        <w:color w:val="C00000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E8145F8"/>
    <w:multiLevelType w:val="multilevel"/>
    <w:tmpl w:val="D6C01A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2A2871"/>
    <w:multiLevelType w:val="multilevel"/>
    <w:tmpl w:val="73145D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67D06F0"/>
    <w:multiLevelType w:val="multilevel"/>
    <w:tmpl w:val="B93EEF6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7BE29FB"/>
    <w:multiLevelType w:val="multilevel"/>
    <w:tmpl w:val="87FEA4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FE6107E"/>
    <w:multiLevelType w:val="multilevel"/>
    <w:tmpl w:val="DC6484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13C6F48"/>
    <w:multiLevelType w:val="multilevel"/>
    <w:tmpl w:val="F8E4EA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ED01E1"/>
    <w:multiLevelType w:val="multilevel"/>
    <w:tmpl w:val="7E5AA8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4AF73D09"/>
    <w:multiLevelType w:val="multilevel"/>
    <w:tmpl w:val="8BC6CF1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1020C6A"/>
    <w:multiLevelType w:val="multilevel"/>
    <w:tmpl w:val="C3866F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4DD5BF6"/>
    <w:multiLevelType w:val="multilevel"/>
    <w:tmpl w:val="4E8A73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9E91335"/>
    <w:multiLevelType w:val="multilevel"/>
    <w:tmpl w:val="36129B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C724F70"/>
    <w:multiLevelType w:val="hybridMultilevel"/>
    <w:tmpl w:val="03E4936E"/>
    <w:lvl w:ilvl="0" w:tplc="8466B6D6">
      <w:start w:val="1"/>
      <w:numFmt w:val="decimal"/>
      <w:pStyle w:val="NumericalList"/>
      <w:lvlText w:val="%1."/>
      <w:lvlJc w:val="left"/>
      <w:pPr>
        <w:ind w:left="810" w:hanging="360"/>
      </w:pPr>
      <w:rPr>
        <w:rFonts w:ascii="Segoe UI Semilight" w:eastAsiaTheme="minorHAnsi" w:hAnsi="Segoe UI Semilight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 w15:restartNumberingAfterBreak="0">
    <w:nsid w:val="5E995BC2"/>
    <w:multiLevelType w:val="hybridMultilevel"/>
    <w:tmpl w:val="E81AE36A"/>
    <w:lvl w:ilvl="0" w:tplc="9DB495D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A326E"/>
    <w:multiLevelType w:val="multilevel"/>
    <w:tmpl w:val="BA98013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0AA2365"/>
    <w:multiLevelType w:val="multilevel"/>
    <w:tmpl w:val="1EECCB9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13E4FB7"/>
    <w:multiLevelType w:val="multilevel"/>
    <w:tmpl w:val="B8B210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35745CB"/>
    <w:multiLevelType w:val="multilevel"/>
    <w:tmpl w:val="A20A010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3FE50D2"/>
    <w:multiLevelType w:val="multilevel"/>
    <w:tmpl w:val="7E5632D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A5A4933"/>
    <w:multiLevelType w:val="multilevel"/>
    <w:tmpl w:val="C6DA22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C542430"/>
    <w:multiLevelType w:val="multilevel"/>
    <w:tmpl w:val="16D8E61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FCE791A"/>
    <w:multiLevelType w:val="multilevel"/>
    <w:tmpl w:val="6A7C73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11F0B59"/>
    <w:multiLevelType w:val="multilevel"/>
    <w:tmpl w:val="244E08D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3A313CC"/>
    <w:multiLevelType w:val="multilevel"/>
    <w:tmpl w:val="38268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6880E78"/>
    <w:multiLevelType w:val="multilevel"/>
    <w:tmpl w:val="7F9290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E5562F8"/>
    <w:multiLevelType w:val="multilevel"/>
    <w:tmpl w:val="FEDE2D9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22"/>
    <w:lvlOverride w:ilvl="0">
      <w:startOverride w:val="1"/>
    </w:lvlOverride>
  </w:num>
  <w:num w:numId="5">
    <w:abstractNumId w:val="34"/>
  </w:num>
  <w:num w:numId="6">
    <w:abstractNumId w:val="24"/>
  </w:num>
  <w:num w:numId="7">
    <w:abstractNumId w:val="21"/>
  </w:num>
  <w:num w:numId="8">
    <w:abstractNumId w:val="29"/>
  </w:num>
  <w:num w:numId="9">
    <w:abstractNumId w:val="27"/>
  </w:num>
  <w:num w:numId="10">
    <w:abstractNumId w:val="31"/>
  </w:num>
  <w:num w:numId="11">
    <w:abstractNumId w:val="9"/>
  </w:num>
  <w:num w:numId="12">
    <w:abstractNumId w:val="6"/>
  </w:num>
  <w:num w:numId="13">
    <w:abstractNumId w:val="35"/>
  </w:num>
  <w:num w:numId="14">
    <w:abstractNumId w:val="17"/>
  </w:num>
  <w:num w:numId="15">
    <w:abstractNumId w:val="1"/>
  </w:num>
  <w:num w:numId="16">
    <w:abstractNumId w:val="28"/>
  </w:num>
  <w:num w:numId="17">
    <w:abstractNumId w:val="5"/>
  </w:num>
  <w:num w:numId="18">
    <w:abstractNumId w:val="15"/>
  </w:num>
  <w:num w:numId="19">
    <w:abstractNumId w:val="19"/>
  </w:num>
  <w:num w:numId="20">
    <w:abstractNumId w:val="26"/>
  </w:num>
  <w:num w:numId="21">
    <w:abstractNumId w:val="11"/>
  </w:num>
  <w:num w:numId="22">
    <w:abstractNumId w:val="12"/>
  </w:num>
  <w:num w:numId="23">
    <w:abstractNumId w:val="7"/>
  </w:num>
  <w:num w:numId="24">
    <w:abstractNumId w:val="2"/>
  </w:num>
  <w:num w:numId="25">
    <w:abstractNumId w:val="33"/>
  </w:num>
  <w:num w:numId="26">
    <w:abstractNumId w:val="14"/>
  </w:num>
  <w:num w:numId="27">
    <w:abstractNumId w:val="20"/>
  </w:num>
  <w:num w:numId="28">
    <w:abstractNumId w:val="3"/>
  </w:num>
  <w:num w:numId="29">
    <w:abstractNumId w:val="16"/>
  </w:num>
  <w:num w:numId="30">
    <w:abstractNumId w:val="30"/>
  </w:num>
  <w:num w:numId="31">
    <w:abstractNumId w:val="4"/>
  </w:num>
  <w:num w:numId="32">
    <w:abstractNumId w:val="8"/>
  </w:num>
  <w:num w:numId="33">
    <w:abstractNumId w:val="18"/>
  </w:num>
  <w:num w:numId="34">
    <w:abstractNumId w:val="32"/>
  </w:num>
  <w:num w:numId="35">
    <w:abstractNumId w:val="25"/>
  </w:num>
  <w:num w:numId="36">
    <w:abstractNumId w:val="13"/>
  </w:num>
  <w:num w:numId="37">
    <w:abstractNumId w:val="2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E9"/>
    <w:rsid w:val="00000A2C"/>
    <w:rsid w:val="00002F69"/>
    <w:rsid w:val="0000371A"/>
    <w:rsid w:val="00010AF8"/>
    <w:rsid w:val="0001189D"/>
    <w:rsid w:val="000203B4"/>
    <w:rsid w:val="00021F58"/>
    <w:rsid w:val="00030754"/>
    <w:rsid w:val="00034F60"/>
    <w:rsid w:val="000414D6"/>
    <w:rsid w:val="000447AA"/>
    <w:rsid w:val="0005666B"/>
    <w:rsid w:val="000569CC"/>
    <w:rsid w:val="000612C5"/>
    <w:rsid w:val="00061CE4"/>
    <w:rsid w:val="00063B37"/>
    <w:rsid w:val="00063B7A"/>
    <w:rsid w:val="000727F6"/>
    <w:rsid w:val="000738D8"/>
    <w:rsid w:val="00082A28"/>
    <w:rsid w:val="000936E1"/>
    <w:rsid w:val="000A69D9"/>
    <w:rsid w:val="000B2C67"/>
    <w:rsid w:val="000B61DF"/>
    <w:rsid w:val="000C0E27"/>
    <w:rsid w:val="000C6F62"/>
    <w:rsid w:val="000D467A"/>
    <w:rsid w:val="000E6B0C"/>
    <w:rsid w:val="000F0B4B"/>
    <w:rsid w:val="000F2959"/>
    <w:rsid w:val="00111218"/>
    <w:rsid w:val="00115024"/>
    <w:rsid w:val="00121EAA"/>
    <w:rsid w:val="00126A0C"/>
    <w:rsid w:val="00143260"/>
    <w:rsid w:val="00153044"/>
    <w:rsid w:val="00165954"/>
    <w:rsid w:val="001667EC"/>
    <w:rsid w:val="00172756"/>
    <w:rsid w:val="00183E1D"/>
    <w:rsid w:val="00191738"/>
    <w:rsid w:val="00191F13"/>
    <w:rsid w:val="001A7E5B"/>
    <w:rsid w:val="001B0355"/>
    <w:rsid w:val="001C79A0"/>
    <w:rsid w:val="001E09B0"/>
    <w:rsid w:val="001E2133"/>
    <w:rsid w:val="001E4607"/>
    <w:rsid w:val="001F23BD"/>
    <w:rsid w:val="001F78EF"/>
    <w:rsid w:val="00211765"/>
    <w:rsid w:val="00214085"/>
    <w:rsid w:val="0021566C"/>
    <w:rsid w:val="00247658"/>
    <w:rsid w:val="0024779F"/>
    <w:rsid w:val="002537F2"/>
    <w:rsid w:val="002557CC"/>
    <w:rsid w:val="00260295"/>
    <w:rsid w:val="00261EA4"/>
    <w:rsid w:val="00283B5C"/>
    <w:rsid w:val="00284944"/>
    <w:rsid w:val="00285C18"/>
    <w:rsid w:val="002928D2"/>
    <w:rsid w:val="002A420F"/>
    <w:rsid w:val="002B3AE3"/>
    <w:rsid w:val="002B50D7"/>
    <w:rsid w:val="002B5388"/>
    <w:rsid w:val="002C56D1"/>
    <w:rsid w:val="002D4AED"/>
    <w:rsid w:val="002E2C00"/>
    <w:rsid w:val="002F319A"/>
    <w:rsid w:val="002F65A9"/>
    <w:rsid w:val="00300583"/>
    <w:rsid w:val="00310684"/>
    <w:rsid w:val="00314FFC"/>
    <w:rsid w:val="00325552"/>
    <w:rsid w:val="00336C61"/>
    <w:rsid w:val="00350E9C"/>
    <w:rsid w:val="00356638"/>
    <w:rsid w:val="00380D55"/>
    <w:rsid w:val="00382D48"/>
    <w:rsid w:val="003B282C"/>
    <w:rsid w:val="003C1109"/>
    <w:rsid w:val="003C1CB7"/>
    <w:rsid w:val="003D1707"/>
    <w:rsid w:val="003E0103"/>
    <w:rsid w:val="003E019D"/>
    <w:rsid w:val="00404113"/>
    <w:rsid w:val="00404FD9"/>
    <w:rsid w:val="00407825"/>
    <w:rsid w:val="00414304"/>
    <w:rsid w:val="00434CB9"/>
    <w:rsid w:val="0043707A"/>
    <w:rsid w:val="004506DB"/>
    <w:rsid w:val="00480296"/>
    <w:rsid w:val="00485C08"/>
    <w:rsid w:val="00486205"/>
    <w:rsid w:val="0049627A"/>
    <w:rsid w:val="004A2658"/>
    <w:rsid w:val="004A2CD6"/>
    <w:rsid w:val="004A31CA"/>
    <w:rsid w:val="004A4B47"/>
    <w:rsid w:val="004B26FA"/>
    <w:rsid w:val="004B2988"/>
    <w:rsid w:val="004E0CD2"/>
    <w:rsid w:val="004E6334"/>
    <w:rsid w:val="004F416D"/>
    <w:rsid w:val="004F6467"/>
    <w:rsid w:val="004F6E0A"/>
    <w:rsid w:val="0050135F"/>
    <w:rsid w:val="005062BC"/>
    <w:rsid w:val="0053274B"/>
    <w:rsid w:val="00533090"/>
    <w:rsid w:val="00547BE8"/>
    <w:rsid w:val="00581BE1"/>
    <w:rsid w:val="00585F8F"/>
    <w:rsid w:val="005A14F1"/>
    <w:rsid w:val="005B645D"/>
    <w:rsid w:val="005C4EE9"/>
    <w:rsid w:val="005C7BC9"/>
    <w:rsid w:val="005C7D36"/>
    <w:rsid w:val="005E696C"/>
    <w:rsid w:val="006067DB"/>
    <w:rsid w:val="00612723"/>
    <w:rsid w:val="00613F5A"/>
    <w:rsid w:val="00623833"/>
    <w:rsid w:val="00630950"/>
    <w:rsid w:val="00632F4D"/>
    <w:rsid w:val="0063523E"/>
    <w:rsid w:val="00652516"/>
    <w:rsid w:val="00655DD1"/>
    <w:rsid w:val="006608A6"/>
    <w:rsid w:val="006665DF"/>
    <w:rsid w:val="00674C86"/>
    <w:rsid w:val="006955B2"/>
    <w:rsid w:val="006A1B46"/>
    <w:rsid w:val="006A50CA"/>
    <w:rsid w:val="006B4FCF"/>
    <w:rsid w:val="006C027C"/>
    <w:rsid w:val="006C75B9"/>
    <w:rsid w:val="006E65AD"/>
    <w:rsid w:val="006E7455"/>
    <w:rsid w:val="00702025"/>
    <w:rsid w:val="007043AE"/>
    <w:rsid w:val="007060FC"/>
    <w:rsid w:val="00717050"/>
    <w:rsid w:val="00761BF9"/>
    <w:rsid w:val="00773154"/>
    <w:rsid w:val="0079443B"/>
    <w:rsid w:val="007A5B8A"/>
    <w:rsid w:val="007C6F4E"/>
    <w:rsid w:val="008052A7"/>
    <w:rsid w:val="00810DB5"/>
    <w:rsid w:val="008347A2"/>
    <w:rsid w:val="008A55D3"/>
    <w:rsid w:val="008B6397"/>
    <w:rsid w:val="008B66C6"/>
    <w:rsid w:val="008C5D95"/>
    <w:rsid w:val="008C7D53"/>
    <w:rsid w:val="008D6DAD"/>
    <w:rsid w:val="008F6B84"/>
    <w:rsid w:val="00906110"/>
    <w:rsid w:val="00907520"/>
    <w:rsid w:val="00910B22"/>
    <w:rsid w:val="00917CEC"/>
    <w:rsid w:val="00925C32"/>
    <w:rsid w:val="00932BCC"/>
    <w:rsid w:val="009361A2"/>
    <w:rsid w:val="0095141E"/>
    <w:rsid w:val="009527E5"/>
    <w:rsid w:val="00967E37"/>
    <w:rsid w:val="00976A15"/>
    <w:rsid w:val="00981965"/>
    <w:rsid w:val="0098695C"/>
    <w:rsid w:val="009A4B2C"/>
    <w:rsid w:val="009B1954"/>
    <w:rsid w:val="009B5251"/>
    <w:rsid w:val="009E0AB4"/>
    <w:rsid w:val="009E2637"/>
    <w:rsid w:val="009F2705"/>
    <w:rsid w:val="009F419D"/>
    <w:rsid w:val="00A02F1A"/>
    <w:rsid w:val="00A05BA3"/>
    <w:rsid w:val="00A1461A"/>
    <w:rsid w:val="00A31849"/>
    <w:rsid w:val="00A357C3"/>
    <w:rsid w:val="00A43804"/>
    <w:rsid w:val="00A50619"/>
    <w:rsid w:val="00A52C83"/>
    <w:rsid w:val="00A54DB3"/>
    <w:rsid w:val="00A54F34"/>
    <w:rsid w:val="00A73457"/>
    <w:rsid w:val="00A8181E"/>
    <w:rsid w:val="00A82EA3"/>
    <w:rsid w:val="00A85427"/>
    <w:rsid w:val="00A86D51"/>
    <w:rsid w:val="00A94ED4"/>
    <w:rsid w:val="00AB1AB1"/>
    <w:rsid w:val="00AB1D31"/>
    <w:rsid w:val="00AB5698"/>
    <w:rsid w:val="00AF3678"/>
    <w:rsid w:val="00AF43A6"/>
    <w:rsid w:val="00AF6871"/>
    <w:rsid w:val="00B0640E"/>
    <w:rsid w:val="00B20FE4"/>
    <w:rsid w:val="00B23C9A"/>
    <w:rsid w:val="00B41310"/>
    <w:rsid w:val="00B46CD6"/>
    <w:rsid w:val="00B473D8"/>
    <w:rsid w:val="00B64E65"/>
    <w:rsid w:val="00B732CD"/>
    <w:rsid w:val="00B7679B"/>
    <w:rsid w:val="00B80012"/>
    <w:rsid w:val="00B83AC2"/>
    <w:rsid w:val="00BA5098"/>
    <w:rsid w:val="00BC6BF2"/>
    <w:rsid w:val="00BC758D"/>
    <w:rsid w:val="00BF0F50"/>
    <w:rsid w:val="00BF20C5"/>
    <w:rsid w:val="00BF4374"/>
    <w:rsid w:val="00C07166"/>
    <w:rsid w:val="00C10104"/>
    <w:rsid w:val="00C2525A"/>
    <w:rsid w:val="00C46F26"/>
    <w:rsid w:val="00C5784B"/>
    <w:rsid w:val="00C64568"/>
    <w:rsid w:val="00C668F6"/>
    <w:rsid w:val="00C93F2E"/>
    <w:rsid w:val="00C966FA"/>
    <w:rsid w:val="00CB4D3F"/>
    <w:rsid w:val="00CC35F2"/>
    <w:rsid w:val="00CD162E"/>
    <w:rsid w:val="00D06381"/>
    <w:rsid w:val="00D14C06"/>
    <w:rsid w:val="00D15528"/>
    <w:rsid w:val="00D17660"/>
    <w:rsid w:val="00D310E5"/>
    <w:rsid w:val="00D34237"/>
    <w:rsid w:val="00D40966"/>
    <w:rsid w:val="00D40B3E"/>
    <w:rsid w:val="00D50770"/>
    <w:rsid w:val="00D555F6"/>
    <w:rsid w:val="00D60756"/>
    <w:rsid w:val="00D74B00"/>
    <w:rsid w:val="00D76D1E"/>
    <w:rsid w:val="00D80C6B"/>
    <w:rsid w:val="00D93B5E"/>
    <w:rsid w:val="00D9778F"/>
    <w:rsid w:val="00DA45B4"/>
    <w:rsid w:val="00DB464E"/>
    <w:rsid w:val="00DC5CA2"/>
    <w:rsid w:val="00DC712B"/>
    <w:rsid w:val="00DD173F"/>
    <w:rsid w:val="00DD3EBD"/>
    <w:rsid w:val="00DD7FC4"/>
    <w:rsid w:val="00DF65FB"/>
    <w:rsid w:val="00E05140"/>
    <w:rsid w:val="00E1035D"/>
    <w:rsid w:val="00E10452"/>
    <w:rsid w:val="00E276E0"/>
    <w:rsid w:val="00E4058A"/>
    <w:rsid w:val="00E43021"/>
    <w:rsid w:val="00E564B3"/>
    <w:rsid w:val="00E564B9"/>
    <w:rsid w:val="00E56870"/>
    <w:rsid w:val="00E6116C"/>
    <w:rsid w:val="00E63ECD"/>
    <w:rsid w:val="00E66B17"/>
    <w:rsid w:val="00E670FF"/>
    <w:rsid w:val="00E946ED"/>
    <w:rsid w:val="00EA6BB1"/>
    <w:rsid w:val="00EB0E5C"/>
    <w:rsid w:val="00EB11B2"/>
    <w:rsid w:val="00ED6EF9"/>
    <w:rsid w:val="00EE0241"/>
    <w:rsid w:val="00EF0295"/>
    <w:rsid w:val="00EF34C0"/>
    <w:rsid w:val="00EF77BC"/>
    <w:rsid w:val="00F07DBA"/>
    <w:rsid w:val="00F132E0"/>
    <w:rsid w:val="00F13768"/>
    <w:rsid w:val="00F1676C"/>
    <w:rsid w:val="00F217BB"/>
    <w:rsid w:val="00F35D01"/>
    <w:rsid w:val="00F409B1"/>
    <w:rsid w:val="00F52C16"/>
    <w:rsid w:val="00F60438"/>
    <w:rsid w:val="00F76C46"/>
    <w:rsid w:val="00F86A0E"/>
    <w:rsid w:val="00FA2180"/>
    <w:rsid w:val="00FA271D"/>
    <w:rsid w:val="00FA3CAB"/>
    <w:rsid w:val="00FB1C71"/>
    <w:rsid w:val="00FB5F90"/>
    <w:rsid w:val="00FE60C7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9C61BCB"/>
  <w15:docId w15:val="{A9D84B63-5B4A-420D-AFF9-F79015A1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81E"/>
    <w:pPr>
      <w:tabs>
        <w:tab w:val="left" w:pos="8730"/>
      </w:tabs>
      <w:spacing w:before="120" w:after="120" w:line="240" w:lineRule="auto"/>
      <w:ind w:right="1080"/>
    </w:pPr>
    <w:rPr>
      <w:rFonts w:ascii="Segoe UI Semilight" w:hAnsi="Segoe UI Semilight"/>
      <w:color w:val="595959" w:themeColor="text1" w:themeTint="A6"/>
      <w:sz w:val="23"/>
    </w:rPr>
  </w:style>
  <w:style w:type="paragraph" w:styleId="Heading1">
    <w:name w:val="heading 1"/>
    <w:next w:val="Header3-List"/>
    <w:link w:val="Heading1Char"/>
    <w:uiPriority w:val="9"/>
    <w:qFormat/>
    <w:rsid w:val="00A8181E"/>
    <w:pPr>
      <w:keepNext/>
      <w:keepLines/>
      <w:tabs>
        <w:tab w:val="left" w:pos="8730"/>
      </w:tabs>
      <w:spacing w:before="360" w:after="120"/>
      <w:ind w:right="1080"/>
      <w:outlineLvl w:val="0"/>
    </w:pPr>
    <w:rPr>
      <w:rFonts w:ascii="Segoe UI Semibold" w:eastAsia="Microsoft YaHei" w:hAnsi="Segoe UI Semibold" w:cs="Segoe UI"/>
      <w:color w:val="002855"/>
      <w:sz w:val="40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181E"/>
    <w:pPr>
      <w:keepNext/>
      <w:keepLines/>
      <w:spacing w:before="300"/>
      <w:outlineLvl w:val="1"/>
    </w:pPr>
    <w:rPr>
      <w:rFonts w:ascii="Segoe UI Semibold" w:eastAsia="Microsoft YaHei" w:hAnsi="Segoe UI Semibold" w:cstheme="majorBidi"/>
      <w:color w:val="5F5F5F"/>
      <w:sz w:val="28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438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38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E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C4EE9"/>
  </w:style>
  <w:style w:type="paragraph" w:styleId="Footer">
    <w:name w:val="footer"/>
    <w:basedOn w:val="Normal"/>
    <w:link w:val="FooterChar"/>
    <w:uiPriority w:val="99"/>
    <w:unhideWhenUsed/>
    <w:rsid w:val="005C4E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EE9"/>
  </w:style>
  <w:style w:type="paragraph" w:styleId="BalloonText">
    <w:name w:val="Balloon Text"/>
    <w:basedOn w:val="Normal"/>
    <w:link w:val="BalloonTextChar"/>
    <w:uiPriority w:val="99"/>
    <w:semiHidden/>
    <w:unhideWhenUsed/>
    <w:rsid w:val="00FB1C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181E"/>
    <w:rPr>
      <w:rFonts w:ascii="Segoe UI Semibold" w:eastAsia="Microsoft YaHei" w:hAnsi="Segoe UI Semibold" w:cs="Segoe UI"/>
      <w:color w:val="002855"/>
      <w:sz w:val="40"/>
      <w:szCs w:val="38"/>
    </w:rPr>
  </w:style>
  <w:style w:type="paragraph" w:styleId="Title">
    <w:name w:val="Title"/>
    <w:next w:val="Normal"/>
    <w:link w:val="TitleChar"/>
    <w:uiPriority w:val="10"/>
    <w:qFormat/>
    <w:rsid w:val="00A8181E"/>
    <w:pPr>
      <w:tabs>
        <w:tab w:val="left" w:pos="8730"/>
      </w:tabs>
      <w:spacing w:after="0" w:line="240" w:lineRule="auto"/>
      <w:ind w:right="1080"/>
    </w:pPr>
    <w:rPr>
      <w:rFonts w:ascii="Segoe UI Semibold" w:eastAsiaTheme="majorEastAsia" w:hAnsi="Segoe UI Semibold" w:cstheme="majorBidi"/>
      <w:color w:val="C8102E"/>
      <w:spacing w:val="-10"/>
      <w:kern w:val="28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8181E"/>
    <w:rPr>
      <w:rFonts w:ascii="Segoe UI Semibold" w:eastAsiaTheme="majorEastAsia" w:hAnsi="Segoe UI Semibold" w:cstheme="majorBidi"/>
      <w:color w:val="C8102E"/>
      <w:spacing w:val="-10"/>
      <w:kern w:val="28"/>
      <w:sz w:val="76"/>
      <w:szCs w:val="76"/>
    </w:rPr>
  </w:style>
  <w:style w:type="character" w:customStyle="1" w:styleId="Heading2Char">
    <w:name w:val="Heading 2 Char"/>
    <w:basedOn w:val="DefaultParagraphFont"/>
    <w:link w:val="Heading2"/>
    <w:uiPriority w:val="9"/>
    <w:rsid w:val="00A8181E"/>
    <w:rPr>
      <w:rFonts w:ascii="Segoe UI Semibold" w:eastAsia="Microsoft YaHei" w:hAnsi="Segoe UI Semibold" w:cstheme="majorBidi"/>
      <w:color w:val="5F5F5F"/>
      <w:sz w:val="28"/>
      <w:szCs w:val="29"/>
    </w:rPr>
  </w:style>
  <w:style w:type="paragraph" w:styleId="ListParagraph">
    <w:name w:val="List Paragraph"/>
    <w:aliases w:val="Bulleted List"/>
    <w:basedOn w:val="Normal"/>
    <w:link w:val="ListParagraphChar"/>
    <w:uiPriority w:val="34"/>
    <w:qFormat/>
    <w:rsid w:val="00A8181E"/>
    <w:pPr>
      <w:numPr>
        <w:numId w:val="1"/>
      </w:numPr>
      <w:ind w:left="806" w:right="634"/>
    </w:pPr>
  </w:style>
  <w:style w:type="paragraph" w:styleId="Subtitle">
    <w:name w:val="Subtitle"/>
    <w:next w:val="Normal"/>
    <w:link w:val="SubtitleChar"/>
    <w:uiPriority w:val="11"/>
    <w:qFormat/>
    <w:rsid w:val="00A8181E"/>
    <w:pPr>
      <w:tabs>
        <w:tab w:val="left" w:pos="8730"/>
      </w:tabs>
      <w:spacing w:before="180" w:after="540" w:line="340" w:lineRule="exact"/>
      <w:ind w:right="1080"/>
    </w:pPr>
    <w:rPr>
      <w:rFonts w:ascii="Segoe UI Semilight" w:eastAsiaTheme="majorEastAsia" w:hAnsi="Segoe UI Semilight" w:cstheme="majorBidi"/>
      <w:noProof/>
      <w:color w:val="5F5F5F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A8181E"/>
    <w:rPr>
      <w:rFonts w:ascii="Segoe UI Semilight" w:eastAsiaTheme="majorEastAsia" w:hAnsi="Segoe UI Semilight" w:cstheme="majorBidi"/>
      <w:noProof/>
      <w:color w:val="5F5F5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F34C0"/>
    <w:rPr>
      <w:color w:val="0563C1" w:themeColor="hyperlink"/>
      <w:u w:val="single"/>
    </w:rPr>
  </w:style>
  <w:style w:type="paragraph" w:customStyle="1" w:styleId="Header3-List">
    <w:name w:val="Header 3 - List"/>
    <w:link w:val="Header3-ListChar"/>
    <w:qFormat/>
    <w:rsid w:val="00A8181E"/>
    <w:pPr>
      <w:numPr>
        <w:numId w:val="2"/>
      </w:numPr>
      <w:tabs>
        <w:tab w:val="left" w:pos="8730"/>
      </w:tabs>
      <w:spacing w:before="180" w:after="0"/>
      <w:ind w:left="806" w:right="1080"/>
    </w:pPr>
    <w:rPr>
      <w:rFonts w:ascii="Segoe UI Semibold" w:eastAsiaTheme="majorEastAsia" w:hAnsi="Segoe UI Semibold" w:cstheme="majorBidi"/>
      <w:color w:val="5F5F5F"/>
      <w:sz w:val="23"/>
      <w:szCs w:val="25"/>
    </w:rPr>
  </w:style>
  <w:style w:type="character" w:customStyle="1" w:styleId="Header3-ListChar">
    <w:name w:val="Header 3 - List Char"/>
    <w:basedOn w:val="Heading2Char"/>
    <w:link w:val="Header3-List"/>
    <w:rsid w:val="00A8181E"/>
    <w:rPr>
      <w:rFonts w:ascii="Segoe UI Semibold" w:eastAsiaTheme="majorEastAsia" w:hAnsi="Segoe UI Semibold" w:cstheme="majorBidi"/>
      <w:color w:val="5F5F5F"/>
      <w:sz w:val="23"/>
      <w:szCs w:val="25"/>
    </w:rPr>
  </w:style>
  <w:style w:type="paragraph" w:customStyle="1" w:styleId="BrandingTextbox">
    <w:name w:val="Branding Textbox"/>
    <w:link w:val="BrandingTextboxChar"/>
    <w:qFormat/>
    <w:rsid w:val="00300583"/>
    <w:rPr>
      <w:rFonts w:ascii="Articulate Light" w:hAnsi="Articulate Light"/>
      <w:color w:val="F2F2F2" w:themeColor="background1" w:themeShade="F2"/>
      <w:szCs w:val="21"/>
    </w:rPr>
  </w:style>
  <w:style w:type="paragraph" w:customStyle="1" w:styleId="TwinCitiesCampusLibraryTextbox">
    <w:name w:val="Twin Cities Campus Library Textbox"/>
    <w:link w:val="TwinCitiesCampusLibraryTextboxChar"/>
    <w:qFormat/>
    <w:rsid w:val="00063B37"/>
    <w:pPr>
      <w:spacing w:before="120" w:after="0"/>
      <w:ind w:left="1526" w:right="547"/>
      <w:jc w:val="right"/>
    </w:pPr>
    <w:rPr>
      <w:rFonts w:ascii="Trebuchet MS" w:hAnsi="Trebuchet MS"/>
      <w:b/>
      <w:color w:val="F2F2F2" w:themeColor="background1" w:themeShade="F2"/>
      <w:sz w:val="36"/>
    </w:rPr>
  </w:style>
  <w:style w:type="character" w:customStyle="1" w:styleId="BrandingTextboxChar">
    <w:name w:val="Branding Textbox Char"/>
    <w:basedOn w:val="DefaultParagraphFont"/>
    <w:link w:val="BrandingTextbox"/>
    <w:rsid w:val="00300583"/>
    <w:rPr>
      <w:rFonts w:ascii="Articulate Light" w:hAnsi="Articulate Light"/>
      <w:color w:val="F2F2F2" w:themeColor="background1" w:themeShade="F2"/>
      <w:szCs w:val="21"/>
    </w:rPr>
  </w:style>
  <w:style w:type="paragraph" w:customStyle="1" w:styleId="Header3">
    <w:name w:val="Header 3"/>
    <w:link w:val="Header3Char"/>
    <w:qFormat/>
    <w:rsid w:val="00336C61"/>
    <w:pPr>
      <w:spacing w:before="180" w:after="0"/>
    </w:pPr>
    <w:rPr>
      <w:rFonts w:ascii="Segoe UI Semibold" w:eastAsiaTheme="majorEastAsia" w:hAnsi="Segoe UI Semibold" w:cstheme="majorBidi"/>
      <w:color w:val="5F5F5F"/>
      <w:sz w:val="24"/>
      <w:szCs w:val="25"/>
    </w:rPr>
  </w:style>
  <w:style w:type="character" w:customStyle="1" w:styleId="TwinCitiesCampusLibraryTextboxChar">
    <w:name w:val="Twin Cities Campus Library Textbox Char"/>
    <w:basedOn w:val="DefaultParagraphFont"/>
    <w:link w:val="TwinCitiesCampusLibraryTextbox"/>
    <w:rsid w:val="00063B37"/>
    <w:rPr>
      <w:rFonts w:ascii="Trebuchet MS" w:hAnsi="Trebuchet MS"/>
      <w:b/>
      <w:color w:val="F2F2F2" w:themeColor="background1" w:themeShade="F2"/>
      <w:sz w:val="36"/>
    </w:rPr>
  </w:style>
  <w:style w:type="paragraph" w:customStyle="1" w:styleId="Note">
    <w:name w:val="Note"/>
    <w:basedOn w:val="ListParagraph"/>
    <w:link w:val="NoteChar"/>
    <w:qFormat/>
    <w:rsid w:val="003C1109"/>
    <w:pPr>
      <w:numPr>
        <w:numId w:val="0"/>
      </w:numPr>
      <w:tabs>
        <w:tab w:val="left" w:pos="8640"/>
      </w:tabs>
      <w:spacing w:before="0" w:after="0"/>
      <w:ind w:left="810" w:right="1080"/>
    </w:pPr>
    <w:rPr>
      <w:szCs w:val="23"/>
    </w:rPr>
  </w:style>
  <w:style w:type="character" w:customStyle="1" w:styleId="Header3Char">
    <w:name w:val="Header 3 Char"/>
    <w:basedOn w:val="DefaultParagraphFont"/>
    <w:link w:val="Header3"/>
    <w:rsid w:val="00336C61"/>
    <w:rPr>
      <w:rFonts w:ascii="Segoe UI Semibold" w:eastAsiaTheme="majorEastAsia" w:hAnsi="Segoe UI Semibold" w:cstheme="majorBidi"/>
      <w:color w:val="5F5F5F"/>
      <w:sz w:val="24"/>
      <w:szCs w:val="25"/>
    </w:rPr>
  </w:style>
  <w:style w:type="character" w:customStyle="1" w:styleId="ListParagraphChar">
    <w:name w:val="List Paragraph Char"/>
    <w:aliases w:val="Bulleted List Char"/>
    <w:basedOn w:val="DefaultParagraphFont"/>
    <w:link w:val="ListParagraph"/>
    <w:uiPriority w:val="34"/>
    <w:rsid w:val="00A8181E"/>
    <w:rPr>
      <w:rFonts w:ascii="Segoe UI Semilight" w:hAnsi="Segoe UI Semilight"/>
      <w:color w:val="595959" w:themeColor="text1" w:themeTint="A6"/>
      <w:sz w:val="23"/>
    </w:rPr>
  </w:style>
  <w:style w:type="character" w:customStyle="1" w:styleId="NoteChar">
    <w:name w:val="Note Char"/>
    <w:basedOn w:val="ListParagraphChar"/>
    <w:link w:val="Note"/>
    <w:rsid w:val="003C1109"/>
    <w:rPr>
      <w:rFonts w:ascii="Segoe UI Semilight" w:hAnsi="Segoe UI Semilight"/>
      <w:color w:val="595959" w:themeColor="text1" w:themeTint="A6"/>
      <w:sz w:val="23"/>
      <w:szCs w:val="23"/>
    </w:rPr>
  </w:style>
  <w:style w:type="paragraph" w:customStyle="1" w:styleId="NumericalList">
    <w:name w:val="Numerical List"/>
    <w:basedOn w:val="ListParagraph"/>
    <w:link w:val="NumericalListChar"/>
    <w:qFormat/>
    <w:rsid w:val="00A8181E"/>
    <w:pPr>
      <w:numPr>
        <w:numId w:val="3"/>
      </w:numPr>
      <w:ind w:left="806" w:right="1080"/>
    </w:pPr>
  </w:style>
  <w:style w:type="character" w:customStyle="1" w:styleId="NumericalListChar">
    <w:name w:val="Numerical List Char"/>
    <w:basedOn w:val="ListParagraphChar"/>
    <w:link w:val="NumericalList"/>
    <w:rsid w:val="00A8181E"/>
    <w:rPr>
      <w:rFonts w:ascii="Segoe UI Semilight" w:hAnsi="Segoe UI Semilight"/>
      <w:color w:val="595959" w:themeColor="text1" w:themeTint="A6"/>
      <w:sz w:val="23"/>
    </w:rPr>
  </w:style>
  <w:style w:type="character" w:styleId="Emphasis">
    <w:name w:val="Emphasis"/>
    <w:basedOn w:val="DefaultParagraphFont"/>
    <w:uiPriority w:val="20"/>
    <w:qFormat/>
    <w:rsid w:val="00D555F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C7BC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30950"/>
    <w:rPr>
      <w:rFonts w:ascii="Segoe UI Semibold" w:hAnsi="Segoe UI Semibold" w:cs="Segoe UI Semibold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8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3804"/>
    <w:rPr>
      <w:rFonts w:asciiTheme="majorHAnsi" w:eastAsiaTheme="majorEastAsia" w:hAnsiTheme="majorHAnsi" w:cstheme="majorBidi"/>
      <w:i/>
      <w:iCs/>
      <w:color w:val="1F4D78" w:themeColor="accent1" w:themeShade="7F"/>
      <w:sz w:val="23"/>
    </w:rPr>
  </w:style>
  <w:style w:type="character" w:styleId="SubtleEmphasis">
    <w:name w:val="Subtle Emphasis"/>
    <w:basedOn w:val="DefaultParagraphFont"/>
    <w:uiPriority w:val="19"/>
    <w:qFormat/>
    <w:rsid w:val="000414D6"/>
    <w:rPr>
      <w:i/>
      <w:iCs/>
      <w:color w:val="404040" w:themeColor="text1" w:themeTint="BF"/>
    </w:rPr>
  </w:style>
  <w:style w:type="paragraph" w:customStyle="1" w:styleId="H2table">
    <w:name w:val="H2 table"/>
    <w:basedOn w:val="Normal"/>
    <w:link w:val="H2tableChar"/>
    <w:qFormat/>
    <w:rsid w:val="000414D6"/>
    <w:pPr>
      <w:widowControl w:val="0"/>
      <w:spacing w:before="0" w:after="0"/>
      <w:ind w:right="0"/>
    </w:pPr>
    <w:rPr>
      <w:b/>
      <w:sz w:val="24"/>
    </w:rPr>
  </w:style>
  <w:style w:type="paragraph" w:customStyle="1" w:styleId="H1tables">
    <w:name w:val="H1 tables"/>
    <w:basedOn w:val="H2table"/>
    <w:link w:val="H1tablesChar"/>
    <w:qFormat/>
    <w:rsid w:val="000414D6"/>
    <w:rPr>
      <w:b w:val="0"/>
      <w:color w:val="FFFFFF" w:themeColor="background1"/>
      <w:sz w:val="28"/>
    </w:rPr>
  </w:style>
  <w:style w:type="character" w:customStyle="1" w:styleId="H2tableChar">
    <w:name w:val="H2 table Char"/>
    <w:basedOn w:val="DefaultParagraphFont"/>
    <w:link w:val="H2table"/>
    <w:rsid w:val="000414D6"/>
    <w:rPr>
      <w:rFonts w:ascii="Segoe UI Semilight" w:hAnsi="Segoe UI Semilight"/>
      <w:b/>
      <w:color w:val="595959" w:themeColor="text1" w:themeTint="A6"/>
      <w:sz w:val="24"/>
    </w:rPr>
  </w:style>
  <w:style w:type="paragraph" w:customStyle="1" w:styleId="normaltables">
    <w:name w:val="normal tables"/>
    <w:basedOn w:val="H2table"/>
    <w:link w:val="normaltablesChar"/>
    <w:qFormat/>
    <w:rsid w:val="00CB4D3F"/>
    <w:rPr>
      <w:b w:val="0"/>
      <w:kern w:val="18"/>
      <w:sz w:val="21"/>
    </w:rPr>
  </w:style>
  <w:style w:type="character" w:customStyle="1" w:styleId="H1tablesChar">
    <w:name w:val="H1 tables Char"/>
    <w:basedOn w:val="H2tableChar"/>
    <w:link w:val="H1tables"/>
    <w:rsid w:val="000414D6"/>
    <w:rPr>
      <w:rFonts w:ascii="Segoe UI Semilight" w:hAnsi="Segoe UI Semilight"/>
      <w:b w:val="0"/>
      <w:color w:val="FFFFFF" w:themeColor="background1"/>
      <w:sz w:val="28"/>
    </w:rPr>
  </w:style>
  <w:style w:type="character" w:customStyle="1" w:styleId="normaltablesChar">
    <w:name w:val="normal tables Char"/>
    <w:basedOn w:val="H2tableChar"/>
    <w:link w:val="normaltables"/>
    <w:rsid w:val="00CB4D3F"/>
    <w:rPr>
      <w:rFonts w:ascii="Segoe UI Semilight" w:hAnsi="Segoe UI Semilight"/>
      <w:b w:val="0"/>
      <w:color w:val="595959" w:themeColor="text1" w:themeTint="A6"/>
      <w:kern w:val="18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umuc.edu/ld.php?content_id=483176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2.smumn.edu/deptpages/tclibrary/services/faculty/OERs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2014-02-20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Danae T. Ostroot</dc:creator>
  <cp:keywords/>
  <dc:description/>
  <cp:lastModifiedBy>Amanda Pruka</cp:lastModifiedBy>
  <cp:revision>4</cp:revision>
  <cp:lastPrinted>2019-07-22T15:39:00Z</cp:lastPrinted>
  <dcterms:created xsi:type="dcterms:W3CDTF">2019-07-19T20:16:00Z</dcterms:created>
  <dcterms:modified xsi:type="dcterms:W3CDTF">2019-07-24T16:41:00Z</dcterms:modified>
</cp:coreProperties>
</file>